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3BA" w:rsidRDefault="00256B2B">
      <w:pPr>
        <w:pBdr>
          <w:top w:val="nil"/>
          <w:left w:val="nil"/>
          <w:bottom w:val="nil"/>
          <w:right w:val="nil"/>
          <w:between w:val="nil"/>
        </w:pBdr>
        <w:tabs>
          <w:tab w:val="center" w:pos="4153"/>
          <w:tab w:val="right" w:pos="8306"/>
          <w:tab w:val="left" w:pos="720"/>
          <w:tab w:val="center" w:pos="4513"/>
          <w:tab w:val="right" w:pos="9026"/>
        </w:tabs>
        <w:spacing w:after="0" w:line="240" w:lineRule="auto"/>
        <w:rPr>
          <w:rFonts w:ascii="Arial" w:eastAsia="Arial" w:hAnsi="Arial" w:cs="Arial"/>
          <w:b/>
          <w:smallCaps/>
          <w:color w:val="000000"/>
          <w:sz w:val="36"/>
          <w:szCs w:val="36"/>
        </w:rPr>
      </w:pPr>
      <w:r>
        <w:rPr>
          <w:rFonts w:ascii="Arial" w:eastAsia="Arial" w:hAnsi="Arial" w:cs="Arial"/>
          <w:b/>
          <w:color w:val="000000"/>
          <w:sz w:val="36"/>
          <w:szCs w:val="36"/>
        </w:rPr>
        <w:t>Call-Off Schedule 5 (Pricing Details and Expenses Policy)</w:t>
      </w:r>
    </w:p>
    <w:p w:rsidR="006A43BA" w:rsidRDefault="006A43BA">
      <w:pPr>
        <w:pBdr>
          <w:top w:val="nil"/>
          <w:left w:val="nil"/>
          <w:bottom w:val="nil"/>
          <w:right w:val="nil"/>
          <w:between w:val="nil"/>
        </w:pBdr>
        <w:tabs>
          <w:tab w:val="center" w:pos="4153"/>
          <w:tab w:val="right" w:pos="8306"/>
          <w:tab w:val="left" w:pos="720"/>
          <w:tab w:val="center" w:pos="4513"/>
          <w:tab w:val="right" w:pos="9026"/>
        </w:tabs>
        <w:spacing w:after="0" w:line="240" w:lineRule="auto"/>
        <w:rPr>
          <w:rFonts w:ascii="Arial" w:eastAsia="Arial" w:hAnsi="Arial" w:cs="Arial"/>
          <w:b/>
          <w:smallCaps/>
          <w:color w:val="000000"/>
          <w:sz w:val="24"/>
          <w:szCs w:val="24"/>
        </w:rPr>
      </w:pPr>
    </w:p>
    <w:p w:rsidR="006A43BA" w:rsidRDefault="00256B2B">
      <w:pPr>
        <w:spacing w:after="200" w:line="276" w:lineRule="auto"/>
        <w:jc w:val="left"/>
        <w:rPr>
          <w:rFonts w:ascii="Arial" w:eastAsia="Arial" w:hAnsi="Arial" w:cs="Arial"/>
          <w:sz w:val="24"/>
          <w:szCs w:val="24"/>
        </w:rPr>
      </w:pPr>
      <w:bookmarkStart w:id="0" w:name="_heading=h.30j0zll" w:colFirst="0" w:colLast="0"/>
      <w:bookmarkEnd w:id="0"/>
      <w:r>
        <w:rPr>
          <w:rFonts w:ascii="Arial" w:eastAsia="Arial" w:hAnsi="Arial" w:cs="Arial"/>
          <w:b/>
          <w:sz w:val="24"/>
          <w:szCs w:val="24"/>
        </w:rPr>
        <w:t>[</w:t>
      </w:r>
      <w:r>
        <w:rPr>
          <w:rFonts w:ascii="Arial" w:eastAsia="Arial" w:hAnsi="Arial" w:cs="Arial"/>
          <w:b/>
          <w:sz w:val="24"/>
          <w:szCs w:val="24"/>
          <w:highlight w:val="yellow"/>
        </w:rPr>
        <w:t xml:space="preserve">Guidance Note: </w:t>
      </w:r>
      <w:r>
        <w:rPr>
          <w:rFonts w:ascii="Arial" w:eastAsia="Arial" w:hAnsi="Arial" w:cs="Arial"/>
          <w:sz w:val="24"/>
          <w:szCs w:val="24"/>
        </w:rPr>
        <w:t xml:space="preserve">This Schedule should be used to show further detailed pricing information (including Supplier Staff rate cards for each Supplier Staff jurisdiction where work is undertaken in accordance with the applicable pricing mechanism for each Service provided), in </w:t>
      </w:r>
      <w:r>
        <w:rPr>
          <w:rFonts w:ascii="Arial" w:eastAsia="Arial" w:hAnsi="Arial" w:cs="Arial"/>
          <w:sz w:val="24"/>
          <w:szCs w:val="24"/>
        </w:rPr>
        <w:t>addition to the pricing set out in the Order Form</w:t>
      </w:r>
      <w:r>
        <w:rPr>
          <w:rFonts w:ascii="Arial" w:eastAsia="Arial" w:hAnsi="Arial" w:cs="Arial"/>
          <w:b/>
          <w:sz w:val="24"/>
          <w:szCs w:val="24"/>
        </w:rPr>
        <w:t>]</w:t>
      </w:r>
      <w:r>
        <w:rPr>
          <w:rFonts w:ascii="Arial" w:eastAsia="Arial" w:hAnsi="Arial" w:cs="Arial"/>
          <w:sz w:val="24"/>
          <w:szCs w:val="24"/>
        </w:rPr>
        <w:t xml:space="preserve"> </w:t>
      </w:r>
    </w:p>
    <w:p w:rsidR="006A43BA" w:rsidRDefault="00256B2B">
      <w:pPr>
        <w:spacing w:after="200" w:line="276" w:lineRule="auto"/>
        <w:jc w:val="left"/>
        <w:rPr>
          <w:rFonts w:ascii="Arial" w:eastAsia="Arial" w:hAnsi="Arial" w:cs="Arial"/>
          <w:sz w:val="24"/>
          <w:szCs w:val="24"/>
        </w:rPr>
      </w:pPr>
      <w:r>
        <w:rPr>
          <w:rFonts w:ascii="Arial" w:eastAsia="Arial" w:hAnsi="Arial" w:cs="Arial"/>
          <w:b/>
          <w:sz w:val="24"/>
          <w:szCs w:val="24"/>
        </w:rPr>
        <w:t xml:space="preserve">1. Call-Off Contract Charges </w:t>
      </w:r>
    </w:p>
    <w:p w:rsidR="006A43BA" w:rsidRDefault="00256B2B">
      <w:pPr>
        <w:spacing w:after="200" w:line="276" w:lineRule="auto"/>
        <w:ind w:left="426" w:hanging="426"/>
        <w:jc w:val="lef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The Supplier shall provide:</w:t>
      </w:r>
    </w:p>
    <w:p w:rsidR="006A43BA" w:rsidRDefault="00256B2B">
      <w:pPr>
        <w:spacing w:after="200" w:line="276" w:lineRule="auto"/>
        <w:ind w:left="1134" w:hanging="709"/>
        <w:jc w:val="left"/>
        <w:rPr>
          <w:rFonts w:ascii="Arial" w:eastAsia="Arial" w:hAnsi="Arial" w:cs="Arial"/>
          <w:sz w:val="24"/>
          <w:szCs w:val="24"/>
        </w:rPr>
      </w:pPr>
      <w:r>
        <w:rPr>
          <w:rFonts w:ascii="Arial" w:eastAsia="Arial" w:hAnsi="Arial" w:cs="Arial"/>
          <w:sz w:val="24"/>
          <w:szCs w:val="24"/>
        </w:rPr>
        <w:t>1.1.1</w:t>
      </w:r>
      <w:r>
        <w:rPr>
          <w:rFonts w:ascii="Arial" w:eastAsia="Arial" w:hAnsi="Arial" w:cs="Arial"/>
          <w:sz w:val="24"/>
          <w:szCs w:val="24"/>
        </w:rPr>
        <w:tab/>
      </w:r>
      <w:proofErr w:type="gramStart"/>
      <w:r>
        <w:rPr>
          <w:rFonts w:ascii="Arial" w:eastAsia="Arial" w:hAnsi="Arial" w:cs="Arial"/>
          <w:sz w:val="24"/>
          <w:szCs w:val="24"/>
        </w:rPr>
        <w:t>as</w:t>
      </w:r>
      <w:proofErr w:type="gramEnd"/>
      <w:r>
        <w:rPr>
          <w:rFonts w:ascii="Arial" w:eastAsia="Arial" w:hAnsi="Arial" w:cs="Arial"/>
          <w:sz w:val="24"/>
          <w:szCs w:val="24"/>
        </w:rPr>
        <w:t xml:space="preserve"> part of the Further Competition Procedure, its pricing for the Deliverables in accordance with the Buyer’s Statement of Requirements.</w:t>
      </w:r>
    </w:p>
    <w:p w:rsidR="006A43BA" w:rsidRDefault="00256B2B">
      <w:pPr>
        <w:spacing w:after="200" w:line="276" w:lineRule="auto"/>
        <w:ind w:left="1134" w:hanging="708"/>
        <w:jc w:val="left"/>
        <w:rPr>
          <w:rFonts w:ascii="Arial" w:eastAsia="Arial" w:hAnsi="Arial" w:cs="Arial"/>
          <w:sz w:val="24"/>
          <w:szCs w:val="24"/>
        </w:rPr>
      </w:pPr>
      <w:r>
        <w:rPr>
          <w:rFonts w:ascii="Arial" w:eastAsia="Arial" w:hAnsi="Arial" w:cs="Arial"/>
          <w:sz w:val="24"/>
          <w:szCs w:val="24"/>
        </w:rPr>
        <w:t>1.1.2</w:t>
      </w:r>
      <w:r>
        <w:rPr>
          <w:rFonts w:ascii="Arial" w:eastAsia="Arial" w:hAnsi="Arial" w:cs="Arial"/>
          <w:sz w:val="24"/>
          <w:szCs w:val="24"/>
        </w:rPr>
        <w:tab/>
      </w:r>
      <w:proofErr w:type="gramStart"/>
      <w:r>
        <w:rPr>
          <w:rFonts w:ascii="Arial" w:eastAsia="Arial" w:hAnsi="Arial" w:cs="Arial"/>
          <w:sz w:val="24"/>
          <w:szCs w:val="24"/>
        </w:rPr>
        <w:t>for</w:t>
      </w:r>
      <w:proofErr w:type="gramEnd"/>
      <w:r>
        <w:rPr>
          <w:rFonts w:ascii="Arial" w:eastAsia="Arial" w:hAnsi="Arial" w:cs="Arial"/>
          <w:sz w:val="24"/>
          <w:szCs w:val="24"/>
        </w:rPr>
        <w:t xml:space="preserve"> each individual Statement of Work (SOW), the applicable Charges, calculated in accordance with the charging methods detailed in the Order Form and using all of the following: </w:t>
      </w:r>
    </w:p>
    <w:p w:rsidR="006A43BA" w:rsidRDefault="00256B2B">
      <w:pPr>
        <w:numPr>
          <w:ilvl w:val="0"/>
          <w:numId w:val="3"/>
        </w:numPr>
        <w:pBdr>
          <w:top w:val="nil"/>
          <w:left w:val="nil"/>
          <w:bottom w:val="nil"/>
          <w:right w:val="nil"/>
          <w:between w:val="nil"/>
        </w:pBdr>
        <w:spacing w:after="200" w:line="276" w:lineRule="auto"/>
        <w:ind w:left="1701" w:hanging="490"/>
        <w:jc w:val="left"/>
        <w:rPr>
          <w:rFonts w:ascii="Arial" w:eastAsia="Arial" w:hAnsi="Arial" w:cs="Arial"/>
          <w:color w:val="000000"/>
          <w:sz w:val="24"/>
          <w:szCs w:val="24"/>
        </w:rPr>
      </w:pPr>
      <w:r>
        <w:rPr>
          <w:rFonts w:ascii="Arial" w:eastAsia="Arial" w:hAnsi="Arial" w:cs="Arial"/>
          <w:color w:val="000000"/>
          <w:sz w:val="24"/>
          <w:szCs w:val="24"/>
        </w:rPr>
        <w:t>the agreed rates for Supplier Staff and/or facilities (which are exclusive of any applicable expenses and VAT) incorporated into the Call-Off Contract;</w:t>
      </w:r>
    </w:p>
    <w:p w:rsidR="006A43BA" w:rsidRDefault="00256B2B">
      <w:pPr>
        <w:numPr>
          <w:ilvl w:val="0"/>
          <w:numId w:val="3"/>
        </w:numPr>
        <w:pBdr>
          <w:top w:val="nil"/>
          <w:left w:val="nil"/>
          <w:bottom w:val="nil"/>
          <w:right w:val="nil"/>
          <w:between w:val="nil"/>
        </w:pBdr>
        <w:spacing w:after="200" w:line="276" w:lineRule="auto"/>
        <w:ind w:left="1701" w:hanging="490"/>
        <w:jc w:val="left"/>
        <w:rPr>
          <w:rFonts w:ascii="Arial" w:eastAsia="Arial" w:hAnsi="Arial" w:cs="Arial"/>
          <w:color w:val="000000"/>
          <w:sz w:val="24"/>
          <w:szCs w:val="24"/>
        </w:rPr>
      </w:pPr>
      <w:r>
        <w:rPr>
          <w:rFonts w:ascii="Arial" w:eastAsia="Arial" w:hAnsi="Arial" w:cs="Arial"/>
          <w:color w:val="000000"/>
          <w:sz w:val="24"/>
          <w:szCs w:val="24"/>
        </w:rPr>
        <w:t>the number of Work Days, or pro rata for every part of a Work Day (see Paragraph 1.2 of Framework Schedu</w:t>
      </w:r>
      <w:r>
        <w:rPr>
          <w:rFonts w:ascii="Arial" w:eastAsia="Arial" w:hAnsi="Arial" w:cs="Arial"/>
          <w:color w:val="000000"/>
          <w:sz w:val="24"/>
          <w:szCs w:val="24"/>
        </w:rPr>
        <w:t>le 3 (Framework Pricing)), that Supplier Staff and/or facilities will be required to provide the Deliverables and to meet the tasks sets out in the SOW between the SOW Start Date and SOW End Date; and</w:t>
      </w:r>
    </w:p>
    <w:p w:rsidR="006A43BA" w:rsidRDefault="00256B2B">
      <w:pPr>
        <w:numPr>
          <w:ilvl w:val="0"/>
          <w:numId w:val="3"/>
        </w:numPr>
        <w:pBdr>
          <w:top w:val="nil"/>
          <w:left w:val="nil"/>
          <w:bottom w:val="nil"/>
          <w:right w:val="nil"/>
          <w:between w:val="nil"/>
        </w:pBdr>
        <w:spacing w:after="200" w:line="276" w:lineRule="auto"/>
        <w:ind w:left="1701" w:hanging="490"/>
        <w:jc w:val="left"/>
        <w:rPr>
          <w:rFonts w:ascii="Arial" w:eastAsia="Arial" w:hAnsi="Arial" w:cs="Arial"/>
          <w:color w:val="000000"/>
          <w:sz w:val="24"/>
          <w:szCs w:val="24"/>
        </w:rPr>
      </w:pPr>
      <w:r>
        <w:rPr>
          <w:rFonts w:ascii="Arial" w:eastAsia="Arial" w:hAnsi="Arial" w:cs="Arial"/>
          <w:color w:val="000000"/>
          <w:sz w:val="24"/>
          <w:szCs w:val="24"/>
        </w:rPr>
        <w:t xml:space="preserve">except in the case of Lot 3 (User Research Studios), a </w:t>
      </w:r>
      <w:r>
        <w:rPr>
          <w:rFonts w:ascii="Arial" w:eastAsia="Arial" w:hAnsi="Arial" w:cs="Arial"/>
          <w:color w:val="000000"/>
          <w:sz w:val="24"/>
          <w:szCs w:val="24"/>
        </w:rPr>
        <w:t>contingency margin of up to 20% of the SOW value (“</w:t>
      </w:r>
      <w:r>
        <w:rPr>
          <w:rFonts w:ascii="Arial" w:eastAsia="Arial" w:hAnsi="Arial" w:cs="Arial"/>
          <w:b/>
          <w:color w:val="000000"/>
          <w:sz w:val="24"/>
          <w:szCs w:val="24"/>
        </w:rPr>
        <w:t>Contingency Margin</w:t>
      </w:r>
      <w:r>
        <w:rPr>
          <w:rFonts w:ascii="Arial" w:eastAsia="Arial" w:hAnsi="Arial" w:cs="Arial"/>
          <w:color w:val="000000"/>
          <w:sz w:val="24"/>
          <w:szCs w:val="24"/>
        </w:rPr>
        <w:t>”) applied to the sum calculated on the basis of (a) and (b), to accommodate any changes to the SOW Deliverables during the SOW Start Date and SOW End Date. The Supplier must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explain </w:t>
      </w:r>
      <w:r>
        <w:rPr>
          <w:rFonts w:ascii="Arial" w:eastAsia="Arial" w:hAnsi="Arial" w:cs="Arial"/>
          <w:color w:val="000000"/>
          <w:sz w:val="24"/>
          <w:szCs w:val="24"/>
        </w:rPr>
        <w:t xml:space="preserve">the reasons for its proposed use of, and (ii) obtain the Buyer’s Approval before applying, any amount of the Contingency Margin. </w:t>
      </w:r>
    </w:p>
    <w:p w:rsidR="006A43BA" w:rsidRDefault="00256B2B">
      <w:pPr>
        <w:spacing w:after="200" w:line="276" w:lineRule="auto"/>
        <w:ind w:left="426" w:hanging="426"/>
        <w:jc w:val="left"/>
        <w:rPr>
          <w:rFonts w:ascii="Arial" w:eastAsia="Arial" w:hAnsi="Arial" w:cs="Arial"/>
          <w:sz w:val="24"/>
          <w:szCs w:val="24"/>
        </w:rPr>
      </w:pPr>
      <w:r>
        <w:rPr>
          <w:rFonts w:ascii="Arial" w:eastAsia="Arial" w:hAnsi="Arial" w:cs="Arial"/>
          <w:sz w:val="24"/>
          <w:szCs w:val="24"/>
        </w:rPr>
        <w:t>1.2</w:t>
      </w:r>
      <w:r>
        <w:rPr>
          <w:rFonts w:ascii="Arial" w:eastAsia="Arial" w:hAnsi="Arial" w:cs="Arial"/>
          <w:sz w:val="24"/>
          <w:szCs w:val="24"/>
        </w:rPr>
        <w:tab/>
        <w:t>Further to Paragraph 1.5 of Framework Schedule 3 (Framework Pricing), the Supplier will provide a detailed breakdown of it</w:t>
      </w:r>
      <w:r>
        <w:rPr>
          <w:rFonts w:ascii="Arial" w:eastAsia="Arial" w:hAnsi="Arial" w:cs="Arial"/>
          <w:sz w:val="24"/>
          <w:szCs w:val="24"/>
        </w:rPr>
        <w:t xml:space="preserve">s Charges for the Deliverables in sufficient detail to enable the Buyer to verify the accuracy of any invoice submitted. </w:t>
      </w:r>
    </w:p>
    <w:p w:rsidR="006A43BA" w:rsidRDefault="00256B2B">
      <w:pPr>
        <w:spacing w:after="200" w:line="276" w:lineRule="auto"/>
        <w:ind w:left="426" w:hanging="66"/>
        <w:jc w:val="left"/>
        <w:rPr>
          <w:rFonts w:ascii="Arial" w:eastAsia="Arial" w:hAnsi="Arial" w:cs="Arial"/>
          <w:sz w:val="24"/>
          <w:szCs w:val="24"/>
        </w:rPr>
      </w:pPr>
      <w:r>
        <w:rPr>
          <w:rFonts w:ascii="Arial" w:eastAsia="Arial" w:hAnsi="Arial" w:cs="Arial"/>
          <w:sz w:val="24"/>
          <w:szCs w:val="24"/>
        </w:rPr>
        <w:t xml:space="preserve">This detailed breakdown will be incorporated into each SOW and include (but will not be limited to): </w:t>
      </w:r>
    </w:p>
    <w:p w:rsidR="006A43BA" w:rsidRDefault="00256B2B">
      <w:pPr>
        <w:numPr>
          <w:ilvl w:val="0"/>
          <w:numId w:val="1"/>
        </w:numPr>
        <w:pBdr>
          <w:top w:val="nil"/>
          <w:left w:val="nil"/>
          <w:bottom w:val="nil"/>
          <w:right w:val="nil"/>
          <w:between w:val="nil"/>
        </w:pBdr>
        <w:spacing w:after="200" w:line="276" w:lineRule="auto"/>
        <w:jc w:val="left"/>
        <w:rPr>
          <w:color w:val="000000"/>
          <w:sz w:val="24"/>
          <w:szCs w:val="24"/>
        </w:rPr>
      </w:pPr>
      <w:r>
        <w:rPr>
          <w:rFonts w:ascii="Arial" w:eastAsia="Arial" w:hAnsi="Arial" w:cs="Arial"/>
          <w:color w:val="000000"/>
          <w:sz w:val="24"/>
          <w:szCs w:val="24"/>
        </w:rPr>
        <w:t xml:space="preserve">a role description of each member of the Supplier Staff; </w:t>
      </w:r>
    </w:p>
    <w:p w:rsidR="006A43BA" w:rsidRDefault="00256B2B">
      <w:pPr>
        <w:numPr>
          <w:ilvl w:val="0"/>
          <w:numId w:val="1"/>
        </w:numPr>
        <w:pBdr>
          <w:top w:val="nil"/>
          <w:left w:val="nil"/>
          <w:bottom w:val="nil"/>
          <w:right w:val="nil"/>
          <w:between w:val="nil"/>
        </w:pBdr>
        <w:spacing w:after="200" w:line="276" w:lineRule="auto"/>
        <w:jc w:val="left"/>
        <w:rPr>
          <w:color w:val="000000"/>
          <w:sz w:val="24"/>
          <w:szCs w:val="24"/>
        </w:rPr>
      </w:pPr>
      <w:r>
        <w:rPr>
          <w:rFonts w:ascii="Arial" w:eastAsia="Arial" w:hAnsi="Arial" w:cs="Arial"/>
          <w:color w:val="000000"/>
          <w:sz w:val="24"/>
          <w:szCs w:val="24"/>
        </w:rPr>
        <w:lastRenderedPageBreak/>
        <w:t xml:space="preserve">a facilities description (if applicable); </w:t>
      </w:r>
    </w:p>
    <w:p w:rsidR="006A43BA" w:rsidRDefault="00256B2B">
      <w:pPr>
        <w:numPr>
          <w:ilvl w:val="0"/>
          <w:numId w:val="1"/>
        </w:numPr>
        <w:pBdr>
          <w:top w:val="nil"/>
          <w:left w:val="nil"/>
          <w:bottom w:val="nil"/>
          <w:right w:val="nil"/>
          <w:between w:val="nil"/>
        </w:pBdr>
        <w:spacing w:after="200" w:line="276" w:lineRule="auto"/>
        <w:jc w:val="left"/>
        <w:rPr>
          <w:color w:val="000000"/>
          <w:sz w:val="24"/>
          <w:szCs w:val="24"/>
        </w:rPr>
      </w:pPr>
      <w:r>
        <w:rPr>
          <w:rFonts w:ascii="Arial" w:eastAsia="Arial" w:hAnsi="Arial" w:cs="Arial"/>
          <w:color w:val="000000"/>
          <w:sz w:val="24"/>
          <w:szCs w:val="24"/>
        </w:rPr>
        <w:t xml:space="preserve">the agreed day rate for each Supplier Staff; </w:t>
      </w:r>
    </w:p>
    <w:p w:rsidR="006A43BA" w:rsidRDefault="00256B2B">
      <w:pPr>
        <w:numPr>
          <w:ilvl w:val="0"/>
          <w:numId w:val="1"/>
        </w:numPr>
        <w:pBdr>
          <w:top w:val="nil"/>
          <w:left w:val="nil"/>
          <w:bottom w:val="nil"/>
          <w:right w:val="nil"/>
          <w:between w:val="nil"/>
        </w:pBdr>
        <w:spacing w:after="200" w:line="276" w:lineRule="auto"/>
        <w:jc w:val="left"/>
        <w:rPr>
          <w:color w:val="000000"/>
          <w:sz w:val="24"/>
          <w:szCs w:val="24"/>
        </w:rPr>
      </w:pPr>
      <w:r>
        <w:rPr>
          <w:rFonts w:ascii="Arial" w:eastAsia="Arial" w:hAnsi="Arial" w:cs="Arial"/>
          <w:color w:val="000000"/>
          <w:sz w:val="24"/>
          <w:szCs w:val="24"/>
        </w:rPr>
        <w:t xml:space="preserve">any expenses charged for each Work Day for each Supplier Staff, which must be in accordance with the Buyer’s </w:t>
      </w:r>
      <w:r>
        <w:rPr>
          <w:rFonts w:ascii="Arial" w:eastAsia="Arial" w:hAnsi="Arial" w:cs="Arial"/>
          <w:color w:val="000000"/>
          <w:sz w:val="24"/>
          <w:szCs w:val="24"/>
        </w:rPr>
        <w:t xml:space="preserve">expenses policy (if applicable); </w:t>
      </w:r>
    </w:p>
    <w:p w:rsidR="006A43BA" w:rsidRDefault="00256B2B">
      <w:pPr>
        <w:numPr>
          <w:ilvl w:val="0"/>
          <w:numId w:val="1"/>
        </w:numPr>
        <w:pBdr>
          <w:top w:val="nil"/>
          <w:left w:val="nil"/>
          <w:bottom w:val="nil"/>
          <w:right w:val="nil"/>
          <w:between w:val="nil"/>
        </w:pBdr>
        <w:spacing w:after="200" w:line="276" w:lineRule="auto"/>
        <w:jc w:val="left"/>
        <w:rPr>
          <w:color w:val="000000"/>
          <w:sz w:val="24"/>
          <w:szCs w:val="24"/>
        </w:rPr>
      </w:pPr>
      <w:r>
        <w:rPr>
          <w:rFonts w:ascii="Arial" w:eastAsia="Arial" w:hAnsi="Arial" w:cs="Arial"/>
          <w:color w:val="000000"/>
          <w:sz w:val="24"/>
          <w:szCs w:val="24"/>
        </w:rPr>
        <w:t xml:space="preserve">the number of Work Days, or pro rata for every part day, they will be actively be engaged in providing the Deliverables between the SOW Start Date and SOW End Date; and </w:t>
      </w:r>
    </w:p>
    <w:p w:rsidR="006A43BA" w:rsidRDefault="00256B2B">
      <w:pPr>
        <w:numPr>
          <w:ilvl w:val="0"/>
          <w:numId w:val="1"/>
        </w:numPr>
        <w:pBdr>
          <w:top w:val="nil"/>
          <w:left w:val="nil"/>
          <w:bottom w:val="nil"/>
          <w:right w:val="nil"/>
          <w:between w:val="nil"/>
        </w:pBdr>
        <w:spacing w:after="200" w:line="276" w:lineRule="auto"/>
        <w:jc w:val="left"/>
        <w:rPr>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total SOW cost for all Supplier Staff role and f</w:t>
      </w:r>
      <w:r>
        <w:rPr>
          <w:rFonts w:ascii="Arial" w:eastAsia="Arial" w:hAnsi="Arial" w:cs="Arial"/>
          <w:color w:val="000000"/>
          <w:sz w:val="24"/>
          <w:szCs w:val="24"/>
        </w:rPr>
        <w:t xml:space="preserve">acilities in providing the Deliverables. </w:t>
      </w:r>
    </w:p>
    <w:p w:rsidR="006A43BA" w:rsidRDefault="00256B2B">
      <w:pPr>
        <w:spacing w:after="200" w:line="276" w:lineRule="auto"/>
        <w:ind w:left="426" w:hanging="426"/>
        <w:jc w:val="left"/>
        <w:rPr>
          <w:rFonts w:ascii="Arial" w:eastAsia="Arial" w:hAnsi="Arial" w:cs="Arial"/>
          <w:sz w:val="24"/>
          <w:szCs w:val="24"/>
        </w:rPr>
      </w:pPr>
      <w:r>
        <w:rPr>
          <w:rFonts w:ascii="Arial" w:eastAsia="Arial" w:hAnsi="Arial" w:cs="Arial"/>
          <w:sz w:val="24"/>
          <w:szCs w:val="24"/>
        </w:rPr>
        <w:t xml:space="preserve">1.3 If a Capped or Fixed Price has been agreed for a particular SOW: </w:t>
      </w:r>
    </w:p>
    <w:p w:rsidR="006A43BA" w:rsidRDefault="00256B2B">
      <w:pPr>
        <w:numPr>
          <w:ilvl w:val="0"/>
          <w:numId w:val="2"/>
        </w:numPr>
        <w:pBdr>
          <w:top w:val="nil"/>
          <w:left w:val="nil"/>
          <w:bottom w:val="nil"/>
          <w:right w:val="nil"/>
          <w:between w:val="nil"/>
        </w:pBdr>
        <w:spacing w:after="200" w:line="276" w:lineRule="auto"/>
        <w:jc w:val="left"/>
        <w:rPr>
          <w:color w:val="000000"/>
          <w:sz w:val="24"/>
          <w:szCs w:val="24"/>
        </w:rPr>
      </w:pPr>
      <w:r>
        <w:rPr>
          <w:rFonts w:ascii="Arial" w:eastAsia="Arial" w:hAnsi="Arial" w:cs="Arial"/>
          <w:color w:val="000000"/>
          <w:sz w:val="24"/>
          <w:szCs w:val="24"/>
        </w:rPr>
        <w:t xml:space="preserve">the Supplier shall continue to work on the Deliverables until they are satisfactorily complete and accepted by the Buyer at its own cost and expense where the Capped or Fixed Price is exceeded; and </w:t>
      </w:r>
    </w:p>
    <w:p w:rsidR="006A43BA" w:rsidRDefault="00256B2B">
      <w:pPr>
        <w:numPr>
          <w:ilvl w:val="0"/>
          <w:numId w:val="2"/>
        </w:numPr>
        <w:pBdr>
          <w:top w:val="nil"/>
          <w:left w:val="nil"/>
          <w:bottom w:val="nil"/>
          <w:right w:val="nil"/>
          <w:between w:val="nil"/>
        </w:pBdr>
        <w:spacing w:after="200" w:line="276" w:lineRule="auto"/>
        <w:jc w:val="left"/>
        <w:rPr>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Buyer will have no obligation or liability to pay any</w:t>
      </w:r>
      <w:r>
        <w:rPr>
          <w:rFonts w:ascii="Arial" w:eastAsia="Arial" w:hAnsi="Arial" w:cs="Arial"/>
          <w:color w:val="000000"/>
          <w:sz w:val="24"/>
          <w:szCs w:val="24"/>
        </w:rPr>
        <w:t xml:space="preserve"> additional Charges or cost of any part of the Deliverables yet to be completed and/or Delivered after the Capped or Fixed Price is exceeded by the Supplier. </w:t>
      </w:r>
    </w:p>
    <w:p w:rsidR="006A43BA" w:rsidRDefault="00256B2B">
      <w:pPr>
        <w:spacing w:after="200" w:line="276" w:lineRule="auto"/>
        <w:ind w:left="426" w:hanging="426"/>
        <w:jc w:val="left"/>
        <w:rPr>
          <w:rFonts w:ascii="Arial" w:eastAsia="Arial" w:hAnsi="Arial" w:cs="Arial"/>
          <w:sz w:val="24"/>
          <w:szCs w:val="24"/>
        </w:rPr>
      </w:pPr>
      <w:r>
        <w:rPr>
          <w:rFonts w:ascii="Arial" w:eastAsia="Arial" w:hAnsi="Arial" w:cs="Arial"/>
          <w:sz w:val="24"/>
          <w:szCs w:val="24"/>
        </w:rPr>
        <w:t>1.4</w:t>
      </w:r>
      <w:r>
        <w:rPr>
          <w:rFonts w:ascii="Arial" w:eastAsia="Arial" w:hAnsi="Arial" w:cs="Arial"/>
          <w:sz w:val="24"/>
          <w:szCs w:val="24"/>
        </w:rPr>
        <w:tab/>
        <w:t>All risks or contingencies will be included in the Charges. The Parties agree that the follow</w:t>
      </w:r>
      <w:r>
        <w:rPr>
          <w:rFonts w:ascii="Arial" w:eastAsia="Arial" w:hAnsi="Arial" w:cs="Arial"/>
          <w:sz w:val="24"/>
          <w:szCs w:val="24"/>
        </w:rPr>
        <w:t>ing assumptions, representations, risks and contingencies will apply in relation to the Charges:</w:t>
      </w:r>
    </w:p>
    <w:p w:rsidR="006A43BA" w:rsidRDefault="00256B2B">
      <w:pPr>
        <w:spacing w:after="200" w:line="276" w:lineRule="auto"/>
        <w:ind w:left="426"/>
        <w:jc w:val="left"/>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w:t>
      </w:r>
      <w:r>
        <w:rPr>
          <w:rFonts w:ascii="Arial" w:eastAsia="Arial" w:hAnsi="Arial" w:cs="Arial"/>
          <w:sz w:val="24"/>
          <w:szCs w:val="24"/>
        </w:rPr>
        <w:t xml:space="preserve"> full details of any assumptions, representations, risks and contingencies which the Parties are relying on in relation to the Charges].</w:t>
      </w:r>
    </w:p>
    <w:p w:rsidR="006A43BA" w:rsidRDefault="006A43BA">
      <w:pPr>
        <w:spacing w:after="200" w:line="276" w:lineRule="auto"/>
        <w:jc w:val="left"/>
        <w:rPr>
          <w:rFonts w:ascii="Arial" w:eastAsia="Arial" w:hAnsi="Arial" w:cs="Arial"/>
          <w:sz w:val="24"/>
          <w:szCs w:val="24"/>
        </w:rPr>
      </w:pPr>
    </w:p>
    <w:p w:rsidR="006A43BA" w:rsidRDefault="00256B2B">
      <w:pPr>
        <w:spacing w:after="200" w:line="276" w:lineRule="auto"/>
        <w:jc w:val="left"/>
        <w:rPr>
          <w:rFonts w:ascii="Arial" w:eastAsia="Arial" w:hAnsi="Arial" w:cs="Arial"/>
          <w:b/>
          <w:sz w:val="36"/>
          <w:szCs w:val="36"/>
        </w:rPr>
      </w:pPr>
      <w:r>
        <w:rPr>
          <w:rFonts w:ascii="Arial" w:eastAsia="Arial" w:hAnsi="Arial" w:cs="Arial"/>
          <w:b/>
          <w:sz w:val="36"/>
          <w:szCs w:val="36"/>
        </w:rPr>
        <w:t>Annex 1 (Expen</w:t>
      </w:r>
      <w:r>
        <w:rPr>
          <w:rFonts w:ascii="Arial" w:eastAsia="Arial" w:hAnsi="Arial" w:cs="Arial"/>
          <w:b/>
          <w:sz w:val="36"/>
          <w:szCs w:val="36"/>
        </w:rPr>
        <w:t>ses Policy)</w:t>
      </w:r>
    </w:p>
    <w:p w:rsidR="006A43BA" w:rsidRDefault="00256B2B">
      <w:pPr>
        <w:spacing w:after="200" w:line="276" w:lineRule="auto"/>
        <w:jc w:val="left"/>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Buyer’s Expenses Policy]</w:t>
      </w:r>
    </w:p>
    <w:p w:rsidR="006A43BA" w:rsidRDefault="006A43BA">
      <w:pPr>
        <w:spacing w:after="200" w:line="276" w:lineRule="auto"/>
        <w:jc w:val="left"/>
        <w:rPr>
          <w:rFonts w:ascii="Arial" w:eastAsia="Arial" w:hAnsi="Arial" w:cs="Arial"/>
          <w:sz w:val="24"/>
          <w:szCs w:val="24"/>
        </w:rPr>
      </w:pPr>
    </w:p>
    <w:p w:rsidR="006A43BA" w:rsidRDefault="006A43BA">
      <w:pPr>
        <w:spacing w:after="200" w:line="276" w:lineRule="auto"/>
        <w:jc w:val="left"/>
        <w:rPr>
          <w:rFonts w:ascii="Arial" w:eastAsia="Arial" w:hAnsi="Arial" w:cs="Arial"/>
          <w:sz w:val="24"/>
          <w:szCs w:val="24"/>
        </w:rPr>
      </w:pPr>
    </w:p>
    <w:p w:rsidR="006A43BA" w:rsidRDefault="006A43BA">
      <w:pPr>
        <w:spacing w:after="200" w:line="276" w:lineRule="auto"/>
        <w:jc w:val="left"/>
        <w:rPr>
          <w:rFonts w:ascii="Arial" w:eastAsia="Arial" w:hAnsi="Arial" w:cs="Arial"/>
          <w:sz w:val="24"/>
          <w:szCs w:val="24"/>
        </w:rPr>
      </w:pPr>
    </w:p>
    <w:sectPr w:rsidR="006A43BA">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B2B" w:rsidRDefault="00256B2B">
      <w:pPr>
        <w:spacing w:after="0" w:line="240" w:lineRule="auto"/>
      </w:pPr>
      <w:r>
        <w:separator/>
      </w:r>
    </w:p>
  </w:endnote>
  <w:endnote w:type="continuationSeparator" w:id="0">
    <w:p w:rsidR="00256B2B" w:rsidRDefault="00256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005" w:rsidRDefault="002600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3BA" w:rsidRDefault="006A43BA">
    <w:pPr>
      <w:tabs>
        <w:tab w:val="center" w:pos="4513"/>
        <w:tab w:val="right" w:pos="9026"/>
      </w:tabs>
      <w:spacing w:after="0" w:line="240" w:lineRule="auto"/>
      <w:rPr>
        <w:rFonts w:ascii="Calibri" w:eastAsia="Calibri" w:hAnsi="Calibri" w:cs="Calibri"/>
      </w:rPr>
    </w:pPr>
  </w:p>
  <w:p w:rsidR="006A43BA" w:rsidRDefault="006A43BA">
    <w:pPr>
      <w:tabs>
        <w:tab w:val="center" w:pos="4153"/>
        <w:tab w:val="right" w:pos="8306"/>
      </w:tabs>
      <w:spacing w:after="0" w:line="240" w:lineRule="auto"/>
      <w:rPr>
        <w:rFonts w:ascii="Arial" w:eastAsia="Arial" w:hAnsi="Arial" w:cs="Arial"/>
        <w:sz w:val="20"/>
        <w:szCs w:val="20"/>
      </w:rPr>
    </w:pPr>
  </w:p>
  <w:p w:rsidR="006A43BA" w:rsidRDefault="00256B2B">
    <w:pPr>
      <w:tabs>
        <w:tab w:val="center" w:pos="4153"/>
        <w:tab w:val="right" w:pos="8306"/>
      </w:tabs>
      <w:spacing w:after="0" w:line="240" w:lineRule="auto"/>
      <w:rPr>
        <w:rFonts w:ascii="Arial" w:eastAsia="Arial" w:hAnsi="Arial" w:cs="Arial"/>
        <w:sz w:val="20"/>
        <w:szCs w:val="20"/>
      </w:rPr>
    </w:pPr>
    <w:r>
      <w:rPr>
        <w:rFonts w:ascii="Arial" w:eastAsia="Arial" w:hAnsi="Arial" w:cs="Arial"/>
        <w:sz w:val="20"/>
        <w:szCs w:val="20"/>
      </w:rPr>
      <w:t>Framework Ref: RM1043.7</w:t>
    </w:r>
  </w:p>
  <w:p w:rsidR="006A43BA" w:rsidRDefault="00256B2B">
    <w:pPr>
      <w:tabs>
        <w:tab w:val="center" w:pos="4153"/>
        <w:tab w:val="right" w:pos="8306"/>
      </w:tabs>
      <w:spacing w:after="0" w:line="240" w:lineRule="auto"/>
      <w:rPr>
        <w:rFonts w:ascii="Calibri" w:eastAsia="Calibri" w:hAnsi="Calibri" w:cs="Calibri"/>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fldChar w:fldCharType="begin"/>
    </w:r>
    <w:r>
      <w:rPr>
        <w:rFonts w:ascii="Arial" w:eastAsia="Arial" w:hAnsi="Arial" w:cs="Arial"/>
        <w:sz w:val="20"/>
        <w:szCs w:val="20"/>
      </w:rPr>
      <w:instrText>PAGE</w:instrText>
    </w:r>
    <w:r w:rsidR="00260005">
      <w:rPr>
        <w:rFonts w:ascii="Arial" w:eastAsia="Arial" w:hAnsi="Arial" w:cs="Arial"/>
        <w:sz w:val="20"/>
        <w:szCs w:val="20"/>
      </w:rPr>
      <w:fldChar w:fldCharType="separate"/>
    </w:r>
    <w:r w:rsidR="00260005">
      <w:rPr>
        <w:rFonts w:ascii="Arial" w:eastAsia="Arial" w:hAnsi="Arial" w:cs="Arial"/>
        <w:noProof/>
        <w:sz w:val="20"/>
        <w:szCs w:val="20"/>
      </w:rPr>
      <w:t>1</w:t>
    </w:r>
    <w:r>
      <w:rPr>
        <w:rFonts w:ascii="Arial" w:eastAsia="Arial" w:hAnsi="Arial" w:cs="Arial"/>
        <w:sz w:val="20"/>
        <w:szCs w:val="20"/>
      </w:rPr>
      <w:fldChar w:fldCharType="end"/>
    </w:r>
    <w:r>
      <w:rPr>
        <w:rFonts w:ascii="Arial" w:eastAsia="Arial" w:hAnsi="Arial" w:cs="Arial"/>
        <w:sz w:val="20"/>
        <w:szCs w:val="20"/>
      </w:rPr>
      <w:tab/>
      <w:t xml:space="preserve"> </w:t>
    </w:r>
    <w:bookmarkStart w:id="1" w:name="_GoBack"/>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3BA" w:rsidRDefault="006A43BA">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rsidR="006A43BA" w:rsidRDefault="00256B2B">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RM1043.7</w:t>
    </w:r>
  </w:p>
  <w:p w:rsidR="006A43BA" w:rsidRDefault="00256B2B">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1</w:t>
    </w:r>
  </w:p>
  <w:p w:rsidR="006A43BA" w:rsidRDefault="00256B2B">
    <w:pPr>
      <w:pBdr>
        <w:top w:val="nil"/>
        <w:left w:val="nil"/>
        <w:bottom w:val="nil"/>
        <w:right w:val="nil"/>
        <w:between w:val="nil"/>
      </w:pBdr>
      <w:tabs>
        <w:tab w:val="center" w:pos="4153"/>
        <w:tab w:val="right" w:pos="8306"/>
      </w:tabs>
      <w:spacing w:after="0" w:line="240" w:lineRule="auto"/>
      <w:rPr>
        <w:color w:val="A6A6A6"/>
      </w:rPr>
    </w:pPr>
    <w:r>
      <w:rPr>
        <w:rFonts w:ascii="Arial" w:eastAsia="Arial" w:hAnsi="Arial" w:cs="Arial"/>
        <w:color w:val="000000"/>
        <w:sz w:val="20"/>
        <w:szCs w:val="20"/>
      </w:rP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B2B" w:rsidRDefault="00256B2B">
      <w:pPr>
        <w:spacing w:after="0" w:line="240" w:lineRule="auto"/>
      </w:pPr>
      <w:r>
        <w:separator/>
      </w:r>
    </w:p>
  </w:footnote>
  <w:footnote w:type="continuationSeparator" w:id="0">
    <w:p w:rsidR="00256B2B" w:rsidRDefault="00256B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005" w:rsidRDefault="002600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3BA" w:rsidRDefault="00256B2B">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5 (Pricing Details and Expenses Policy)</w:t>
    </w:r>
    <w:r>
      <w:rPr>
        <w:noProof/>
      </w:rPr>
      <w:drawing>
        <wp:anchor distT="0" distB="0" distL="114300" distR="114300" simplePos="0" relativeHeight="251658240" behindDoc="0" locked="0" layoutInCell="1" hidden="0" allowOverlap="1">
          <wp:simplePos x="0" y="0"/>
          <wp:positionH relativeFrom="column">
            <wp:posOffset>5562600</wp:posOffset>
          </wp:positionH>
          <wp:positionV relativeFrom="paragraph">
            <wp:posOffset>-165733</wp:posOffset>
          </wp:positionV>
          <wp:extent cx="848995" cy="685800"/>
          <wp:effectExtent l="0" t="0" r="0" b="0"/>
          <wp:wrapNone/>
          <wp:docPr id="2"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8995" cy="685800"/>
                  </a:xfrm>
                  <a:prstGeom prst="rect">
                    <a:avLst/>
                  </a:prstGeom>
                  <a:ln/>
                </pic:spPr>
              </pic:pic>
            </a:graphicData>
          </a:graphic>
        </wp:anchor>
      </w:drawing>
    </w:r>
  </w:p>
  <w:p w:rsidR="006A43BA" w:rsidRDefault="00256B2B">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rsidR="006A43BA" w:rsidRDefault="00260005">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2020</w:t>
    </w:r>
  </w:p>
  <w:p w:rsidR="006A43BA" w:rsidRDefault="006A43BA">
    <w:pPr>
      <w:tabs>
        <w:tab w:val="center" w:pos="4513"/>
        <w:tab w:val="right" w:pos="9026"/>
      </w:tabs>
      <w:spacing w:after="0" w:line="240" w:lineRule="auto"/>
      <w:rPr>
        <w:rFonts w:ascii="Arial" w:eastAsia="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3BA" w:rsidRDefault="00256B2B">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5 (Pricing Details and Expenses Policy)</w:t>
    </w:r>
  </w:p>
  <w:p w:rsidR="006A43BA" w:rsidRDefault="00256B2B">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rsidR="006A43BA" w:rsidRDefault="00256B2B">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rsidR="006A43BA" w:rsidRDefault="006A43BA">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A17B8"/>
    <w:multiLevelType w:val="multilevel"/>
    <w:tmpl w:val="3C40E1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8341636"/>
    <w:multiLevelType w:val="multilevel"/>
    <w:tmpl w:val="AEB0061C"/>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745A7A48"/>
    <w:multiLevelType w:val="multilevel"/>
    <w:tmpl w:val="DA5E02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3BA"/>
    <w:rsid w:val="00256B2B"/>
    <w:rsid w:val="00260005"/>
    <w:rsid w:val="006A43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7BDBDC6"/>
  <w15:docId w15:val="{D052AA92-FBA6-4382-943D-B7C88A24B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pBdr>
        <w:top w:val="nil"/>
        <w:left w:val="nil"/>
        <w:bottom w:val="nil"/>
        <w:right w:val="nil"/>
        <w:between w:val="nil"/>
      </w:pBdr>
      <w:spacing w:line="240" w:lineRule="auto"/>
      <w:ind w:left="720" w:hanging="720"/>
      <w:outlineLvl w:val="0"/>
    </w:pPr>
    <w:rPr>
      <w:color w:val="000000"/>
    </w:rPr>
  </w:style>
  <w:style w:type="paragraph" w:styleId="Heading2">
    <w:name w:val="heading 2"/>
    <w:basedOn w:val="Normal"/>
    <w:next w:val="Normal"/>
    <w:uiPriority w:val="9"/>
    <w:semiHidden/>
    <w:unhideWhenUsed/>
    <w:qFormat/>
    <w:pPr>
      <w:pBdr>
        <w:top w:val="nil"/>
        <w:left w:val="nil"/>
        <w:bottom w:val="nil"/>
        <w:right w:val="nil"/>
        <w:between w:val="nil"/>
      </w:pBdr>
      <w:spacing w:line="240" w:lineRule="auto"/>
      <w:ind w:left="720" w:hanging="720"/>
      <w:outlineLvl w:val="1"/>
    </w:pPr>
    <w:rPr>
      <w:rFonts w:ascii="Calibri" w:eastAsia="Calibri" w:hAnsi="Calibri" w:cs="Calibri"/>
      <w:color w:val="000000"/>
    </w:rPr>
  </w:style>
  <w:style w:type="paragraph" w:styleId="Heading3">
    <w:name w:val="heading 3"/>
    <w:basedOn w:val="Normal"/>
    <w:next w:val="Normal"/>
    <w:uiPriority w:val="9"/>
    <w:semiHidden/>
    <w:unhideWhenUsed/>
    <w:qFormat/>
    <w:pPr>
      <w:pBdr>
        <w:top w:val="nil"/>
        <w:left w:val="nil"/>
        <w:bottom w:val="nil"/>
        <w:right w:val="nil"/>
        <w:between w:val="nil"/>
      </w:pBdr>
      <w:spacing w:line="240" w:lineRule="auto"/>
      <w:ind w:left="1800" w:hanging="1080"/>
      <w:outlineLvl w:val="2"/>
    </w:pPr>
    <w:rPr>
      <w:color w:val="000000"/>
    </w:rPr>
  </w:style>
  <w:style w:type="paragraph" w:styleId="Heading4">
    <w:name w:val="heading 4"/>
    <w:basedOn w:val="Normal"/>
    <w:next w:val="Normal"/>
    <w:uiPriority w:val="9"/>
    <w:semiHidden/>
    <w:unhideWhenUsed/>
    <w:qFormat/>
    <w:pPr>
      <w:pBdr>
        <w:top w:val="nil"/>
        <w:left w:val="nil"/>
        <w:bottom w:val="nil"/>
        <w:right w:val="nil"/>
        <w:between w:val="nil"/>
      </w:pBdr>
      <w:spacing w:line="240" w:lineRule="auto"/>
      <w:ind w:left="2880" w:hanging="1080"/>
      <w:outlineLvl w:val="3"/>
    </w:pPr>
    <w:rPr>
      <w:color w:val="000000"/>
    </w:rPr>
  </w:style>
  <w:style w:type="paragraph" w:styleId="Heading5">
    <w:name w:val="heading 5"/>
    <w:basedOn w:val="Normal"/>
    <w:next w:val="Normal"/>
    <w:uiPriority w:val="9"/>
    <w:semiHidden/>
    <w:unhideWhenUsed/>
    <w:qFormat/>
    <w:pPr>
      <w:pBdr>
        <w:top w:val="nil"/>
        <w:left w:val="nil"/>
        <w:bottom w:val="nil"/>
        <w:right w:val="nil"/>
        <w:between w:val="nil"/>
      </w:pBdr>
      <w:spacing w:line="240" w:lineRule="auto"/>
      <w:ind w:left="3600" w:hanging="720"/>
      <w:outlineLvl w:val="4"/>
    </w:pPr>
    <w:rPr>
      <w:color w:val="000000"/>
    </w:rPr>
  </w:style>
  <w:style w:type="paragraph" w:styleId="Heading6">
    <w:name w:val="heading 6"/>
    <w:basedOn w:val="Normal"/>
    <w:next w:val="Normal"/>
    <w:uiPriority w:val="9"/>
    <w:semiHidden/>
    <w:unhideWhenUsed/>
    <w:qFormat/>
    <w:pPr>
      <w:pBdr>
        <w:top w:val="nil"/>
        <w:left w:val="nil"/>
        <w:bottom w:val="nil"/>
        <w:right w:val="nil"/>
        <w:between w:val="nil"/>
      </w:pBdr>
      <w:spacing w:line="240" w:lineRule="auto"/>
      <w:ind w:left="4320" w:hanging="720"/>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rFonts w:ascii="Arial" w:eastAsia="Arial" w:hAnsi="Arial" w:cs="Arial"/>
      <w:b/>
      <w:sz w:val="32"/>
      <w:szCs w:val="32"/>
    </w:rPr>
  </w:style>
  <w:style w:type="paragraph" w:styleId="Subtitle">
    <w:name w:val="Subtitle"/>
    <w:basedOn w:val="Normal"/>
    <w:next w:val="Normal"/>
    <w:pPr>
      <w:spacing w:after="60"/>
      <w:jc w:val="center"/>
    </w:pPr>
    <w:rPr>
      <w:rFonts w:ascii="Cambria" w:eastAsia="Cambria" w:hAnsi="Cambria" w:cs="Cambria"/>
      <w:sz w:val="24"/>
      <w:szCs w:val="24"/>
    </w:rPr>
  </w:style>
  <w:style w:type="paragraph" w:styleId="BalloonText">
    <w:name w:val="Balloon Text"/>
    <w:basedOn w:val="Normal"/>
    <w:link w:val="BalloonTextChar"/>
    <w:uiPriority w:val="99"/>
    <w:semiHidden/>
    <w:unhideWhenUsed/>
    <w:rsid w:val="006752B5"/>
    <w:pPr>
      <w:spacing w:after="0" w:line="240" w:lineRule="auto"/>
    </w:pPr>
    <w:rPr>
      <w:sz w:val="18"/>
      <w:szCs w:val="18"/>
    </w:rPr>
  </w:style>
  <w:style w:type="character" w:customStyle="1" w:styleId="BalloonTextChar">
    <w:name w:val="Balloon Text Char"/>
    <w:basedOn w:val="DefaultParagraphFont"/>
    <w:link w:val="BalloonText"/>
    <w:uiPriority w:val="99"/>
    <w:semiHidden/>
    <w:rsid w:val="006752B5"/>
    <w:rPr>
      <w:sz w:val="18"/>
      <w:szCs w:val="18"/>
    </w:rPr>
  </w:style>
  <w:style w:type="paragraph" w:styleId="Header">
    <w:name w:val="header"/>
    <w:basedOn w:val="Normal"/>
    <w:link w:val="HeaderChar"/>
    <w:uiPriority w:val="99"/>
    <w:unhideWhenUsed/>
    <w:rsid w:val="002600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60005"/>
  </w:style>
  <w:style w:type="paragraph" w:styleId="Footer">
    <w:name w:val="footer"/>
    <w:basedOn w:val="Normal"/>
    <w:link w:val="FooterChar"/>
    <w:uiPriority w:val="99"/>
    <w:unhideWhenUsed/>
    <w:rsid w:val="002600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00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A9T0haXaQLSQgGoxDrA6xqzX7w==">AMUW2mWoRqehVPm73zjFbOoDUh9l6RjZU+3mYmbUMBzoN+QErygtqaJMZryGbeIEiG42P/KC7Zs2A/SBt3L3+9ftma40Ow5MPVJKDdMBe/Wj9Y0sELGBjPt3US3quUgHwmc9vcUydXJj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516</Words>
  <Characters>2946</Characters>
  <Application>Microsoft Office Word</Application>
  <DocSecurity>0</DocSecurity>
  <Lines>24</Lines>
  <Paragraphs>6</Paragraphs>
  <ScaleCrop>false</ScaleCrop>
  <Company>Cabinet Office</Company>
  <LinksUpToDate>false</LinksUpToDate>
  <CharactersWithSpaces>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Sergison</cp:lastModifiedBy>
  <cp:revision>2</cp:revision>
  <dcterms:created xsi:type="dcterms:W3CDTF">2020-10-02T13:43:00Z</dcterms:created>
  <dcterms:modified xsi:type="dcterms:W3CDTF">2020-10-06T07:54:00Z</dcterms:modified>
</cp:coreProperties>
</file>